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rPr>
      </w:pPr>
      <w:r w:rsidDel="00000000" w:rsidR="00000000" w:rsidRPr="00000000">
        <w:rPr>
          <w:rFonts w:ascii="Arial" w:cs="Arial" w:eastAsia="Arial" w:hAnsi="Arial"/>
        </w:rPr>
        <w:drawing>
          <wp:inline distB="0" distT="0" distL="0" distR="0">
            <wp:extent cx="687378" cy="684636"/>
            <wp:effectExtent b="0" l="0" r="0" t="0"/>
            <wp:docPr descr="St Mary's Church of England" id="7" name="image1.png"/>
            <a:graphic>
              <a:graphicData uri="http://schemas.openxmlformats.org/drawingml/2006/picture">
                <pic:pic>
                  <pic:nvPicPr>
                    <pic:cNvPr descr="St Mary's Church of England" id="0" name="image1.png"/>
                    <pic:cNvPicPr preferRelativeResize="0"/>
                  </pic:nvPicPr>
                  <pic:blipFill>
                    <a:blip r:embed="rId7"/>
                    <a:srcRect b="0" l="0" r="80556" t="0"/>
                    <a:stretch>
                      <a:fillRect/>
                    </a:stretch>
                  </pic:blipFill>
                  <pic:spPr>
                    <a:xfrm>
                      <a:off x="0" y="0"/>
                      <a:ext cx="687378" cy="684636"/>
                    </a:xfrm>
                    <a:prstGeom prst="rect"/>
                    <a:ln/>
                  </pic:spPr>
                </pic:pic>
              </a:graphicData>
            </a:graphic>
          </wp:inline>
        </w:drawing>
      </w:r>
      <w:r w:rsidDel="00000000" w:rsidR="00000000" w:rsidRPr="00000000">
        <w:rPr>
          <w:rFonts w:ascii="Arial" w:cs="Arial" w:eastAsia="Arial" w:hAnsi="Arial"/>
        </w:rPr>
        <w:drawing>
          <wp:inline distB="0" distT="0" distL="0" distR="0">
            <wp:extent cx="1932335" cy="702673"/>
            <wp:effectExtent b="0" l="0" r="0" t="0"/>
            <wp:docPr descr="St Mary's Church of England" id="8" name="image1.png"/>
            <a:graphic>
              <a:graphicData uri="http://schemas.openxmlformats.org/drawingml/2006/picture">
                <pic:pic>
                  <pic:nvPicPr>
                    <pic:cNvPr descr="St Mary's Church of England" id="0" name="image1.png"/>
                    <pic:cNvPicPr preferRelativeResize="0"/>
                  </pic:nvPicPr>
                  <pic:blipFill>
                    <a:blip r:embed="rId7"/>
                    <a:srcRect b="0" l="46741" r="0" t="0"/>
                    <a:stretch>
                      <a:fillRect/>
                    </a:stretch>
                  </pic:blipFill>
                  <pic:spPr>
                    <a:xfrm>
                      <a:off x="0" y="0"/>
                      <a:ext cx="1932335" cy="7026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ff"/>
        </w:rPr>
      </w:pPr>
      <w:r w:rsidDel="00000000" w:rsidR="00000000" w:rsidRPr="00000000">
        <w:rPr>
          <w:rFonts w:ascii="Arial" w:cs="Arial" w:eastAsia="Arial" w:hAnsi="Arial"/>
          <w:b w:val="1"/>
          <w:color w:val="0000ff"/>
          <w:sz w:val="28"/>
          <w:szCs w:val="28"/>
          <w:rtl w:val="0"/>
        </w:rPr>
        <w:t xml:space="preserve">Sports Premium Review </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June 2025</w:t>
      </w: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color w:val="c00000"/>
          <w:sz w:val="28"/>
          <w:szCs w:val="28"/>
        </w:rPr>
      </w:pPr>
      <w:bookmarkStart w:colFirst="0" w:colLast="0" w:name="_heading=h.6smvj19h3sja" w:id="0"/>
      <w:bookmarkEnd w:id="0"/>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At St. Margaret's, we prioritise the integral role of sports in fostering the health and wellbeing of our children. We firmly believe that academic excellence and active participation in sports go hand in hand. This academic year, we have not only sustained but also enhanced our provision to ensure that every child receives a consistently high-quality education.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Throughout the academic year, swimming lessons have been consistently delivered to all Year 4 pupils. As a result, 70% of the cohort successfully met the national curriculum requirements for swimming and water safety, demonstrating strong progress within the programme.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addition to swimming, all pupils have benefited from two timetabled Physical Education (PE) lessons per week, delivered by class teachers. Following the strategic decision last year to transition away from an external coaching model, PE provision is now fully delivered in-house. This change has had a positive impact, resulting in improved curriculum coverage and enhanced learning outcomes.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implementation of the high-quality ‘Get Set 4 PE’ scheme has been a key strength. This programme, known for its clear progression, accessible resources, and broad range of sporting disciplines, has been consistently applied across the school due to well-established expectations and structured guidance. Furthermore, the PE subject leader has undertaken lesson visits throughout the year to monitor provision and provide developmental feedback to staff, ensuring the continued high standard of teaching and learning in PE.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addition to the core PE curriculum, we have a sports offer which children have the opportunity to attend sports which are not taught within the curriculum e.g. boxing, karate. Careful planning ensures that every pupil has access to at least one club during the year, with preparations already underway for autumn 2025-6 clubs through external agencies. </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Additional investment has been made this year in equipment and resources aligned with the PE curriculum, including the enhancement of playground apparatus informed by pupil voice and identified needs. Structured sports activities during lunchtimes - such as basketball, netball, hockey, cricket, and football - have played a significant role in promoting physical activity and engagement. These sessions have also served as a platform for developing leadership skills, with selected pupils taking responsibility for overseeing and refereeing games. In particular, trained Year 6 pupils have supported activities in Key Stage 1, acting as positive role models and embodying the school’s vision and values through sport. Targeted efforts have been made to include less active and less confident pupils in lunchtime games, ensuring that participation is enjoyable and accessible in a supportive environment. Midday Assistants (MDAs) continue to provide structured support during playtimes, further enriching pupils’ experiences in sport and physical activity.</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Our Level 2 inter-school competitions this year have primarily focused on football within Key Stage 2. Competitive fixtures will resume in the Autumn term. During the year, dedicated teams were established for Year 6 boys, Year 6 girls, and a combined Year 4/5 boys' team. These teams benefited from regular coaching and the opportunity to develop their skills through structured competition, fostering both individual growth and team collaboration.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Looking ahead to the next academic year, we are committed to further broadening pupils’ access to a wider range of sports and increasing participation in local competitions across various disciplines. This continued investment in diverse and inclusive sporting opportunities, combined with a high-quality PE curriculum, enriched extracurricular provision, structured lunchtime activities, and engagement with inspiring sporting professionals, ensures that sport at St Margaret’s continues to thrive - promoting physical development, teamwork, and a lifelong love of physical activity.</w:t>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jBNMrgc/Snr3qZ8FXDTkWMoqA==">CgMxLjAyDmguNnNtdmoxOWgzc2phOAByITFBS3NST01ZV2hleXpsUFBianZ5anp4aHZXb0QzenFhcg==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2023-06-26T16:53:00Z</dcterms:created>
  <dc:creator>James Hollinsley</dc:creator>
</cp:coreProperties>
</file>